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1FD47" w14:textId="77777777" w:rsidR="007E749D" w:rsidRDefault="00603555">
      <w:pPr>
        <w:pStyle w:val="Heading1"/>
        <w:ind w:left="1" w:hanging="3"/>
      </w:pPr>
      <w:bookmarkStart w:id="0" w:name="_heading=h.tfv303h7v76c" w:colFirst="0" w:colLast="0"/>
      <w:bookmarkEnd w:id="0"/>
      <w:r>
        <w:t>Achieving the 'Inter' in 'Interdependence': Reframing a Theory of Expertise for Online Writing Center Relationships</w:t>
      </w:r>
    </w:p>
    <w:p w14:paraId="53A1FD48" w14:textId="77777777" w:rsidR="007E749D" w:rsidRDefault="00603555">
      <w:pPr>
        <w:spacing w:after="20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My name is Doctor Adrienne Lamberti, and I'd like to talk about "Achieving the 'Inter' in 'Interdependence': Reframing a Theory of Expertise for Online Writing Center Relationships."</w:t>
      </w:r>
    </w:p>
    <w:p w14:paraId="53A1FD49" w14:textId="77777777" w:rsidR="007E749D" w:rsidRDefault="00603555">
      <w:pPr>
        <w:spacing w:after="20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 the wake of COVID-19, the ways in which we teach and learn through onl</w:t>
      </w:r>
      <w:r>
        <w:rPr>
          <w:rFonts w:ascii="Arial" w:eastAsia="Arial" w:hAnsi="Arial" w:cs="Arial"/>
        </w:rPr>
        <w:t>ine contact are being reconsidered--not only conventional relationships but also those comparatively recent to education.</w:t>
      </w:r>
    </w:p>
    <w:p w14:paraId="53A1FD4A" w14:textId="77777777" w:rsidR="007E749D" w:rsidRDefault="00603555">
      <w:pPr>
        <w:spacing w:after="20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Before the pandemic, for example, there were discussions of online learning models such as </w:t>
      </w:r>
      <w:proofErr w:type="spellStart"/>
      <w:r>
        <w:rPr>
          <w:rFonts w:ascii="Arial" w:eastAsia="Arial" w:hAnsi="Arial" w:cs="Arial"/>
        </w:rPr>
        <w:t>blendflex</w:t>
      </w:r>
      <w:proofErr w:type="spellEnd"/>
      <w:r>
        <w:rPr>
          <w:rFonts w:ascii="Arial" w:eastAsia="Arial" w:hAnsi="Arial" w:cs="Arial"/>
        </w:rPr>
        <w:t>, where “students toggle between f</w:t>
      </w:r>
      <w:r>
        <w:rPr>
          <w:rFonts w:ascii="Arial" w:eastAsia="Arial" w:hAnsi="Arial" w:cs="Arial"/>
        </w:rPr>
        <w:t xml:space="preserve">ace-to-face, synchronous online and asynchronous online </w:t>
      </w:r>
      <w:proofErr w:type="spellStart"/>
      <w:proofErr w:type="gramStart"/>
      <w:r>
        <w:rPr>
          <w:rFonts w:ascii="Arial" w:eastAsia="Arial" w:hAnsi="Arial" w:cs="Arial"/>
        </w:rPr>
        <w:t>learning,and</w:t>
      </w:r>
      <w:proofErr w:type="spellEnd"/>
      <w:proofErr w:type="gramEnd"/>
      <w:r>
        <w:rPr>
          <w:rFonts w:ascii="Arial" w:eastAsia="Arial" w:hAnsi="Arial" w:cs="Arial"/>
        </w:rPr>
        <w:t xml:space="preserve"> the volume of each is up to them." Now, such imaginings of </w:t>
      </w:r>
      <w:proofErr w:type="spellStart"/>
      <w:r>
        <w:rPr>
          <w:rFonts w:ascii="Arial" w:eastAsia="Arial" w:hAnsi="Arial" w:cs="Arial"/>
        </w:rPr>
        <w:t>hyflex</w:t>
      </w:r>
      <w:proofErr w:type="spellEnd"/>
      <w:r>
        <w:rPr>
          <w:rFonts w:ascii="Arial" w:eastAsia="Arial" w:hAnsi="Arial" w:cs="Arial"/>
        </w:rPr>
        <w:t xml:space="preserve"> and other online course materials are often discussed in terms of their logistical feasibility, as opposed to focusing on</w:t>
      </w:r>
      <w:r>
        <w:rPr>
          <w:rFonts w:ascii="Arial" w:eastAsia="Arial" w:hAnsi="Arial" w:cs="Arial"/>
        </w:rPr>
        <w:t xml:space="preserve"> their educational innovation.</w:t>
      </w:r>
    </w:p>
    <w:p w14:paraId="53A1FD4B" w14:textId="77777777" w:rsidR="007E749D" w:rsidRDefault="00603555">
      <w:pPr>
        <w:spacing w:after="20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presentation, meanwhile, advocates for reexamining the </w:t>
      </w:r>
      <w:r>
        <w:rPr>
          <w:rFonts w:ascii="Arial" w:eastAsia="Arial" w:hAnsi="Arial" w:cs="Arial"/>
          <w:i/>
        </w:rPr>
        <w:t>frameworks</w:t>
      </w:r>
      <w:r>
        <w:rPr>
          <w:rFonts w:ascii="Arial" w:eastAsia="Arial" w:hAnsi="Arial" w:cs="Arial"/>
        </w:rPr>
        <w:t xml:space="preserve"> that theorize our online educational interactions, in keeping with a larger trend across disciplines. A recent editorial in a healthcare journal, for inst</w:t>
      </w:r>
      <w:r>
        <w:rPr>
          <w:rFonts w:ascii="Arial" w:eastAsia="Arial" w:hAnsi="Arial" w:cs="Arial"/>
        </w:rPr>
        <w:t>ance, questioned whether a long-standing philosophy called Statistical Process Control is even still viable in a field that increasingly relies on an approach called Network Science. As another example, a scholar of political economy recently advocated for</w:t>
      </w:r>
      <w:r>
        <w:rPr>
          <w:rFonts w:ascii="Arial" w:eastAsia="Arial" w:hAnsi="Arial" w:cs="Arial"/>
        </w:rPr>
        <w:t xml:space="preserve"> ongoing Marxist theorizations of state capitalism, given increasing instances of what the author calls “state-capital entanglements.”</w:t>
      </w:r>
    </w:p>
    <w:p w14:paraId="53A1FD4C" w14:textId="77777777" w:rsidR="007E749D" w:rsidRDefault="00603555">
      <w:pPr>
        <w:spacing w:after="20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 we as educators endorse praxis as theory in action, then our practices can be no sounder than the theories they embody</w:t>
      </w:r>
      <w:r>
        <w:rPr>
          <w:rFonts w:ascii="Arial" w:eastAsia="Arial" w:hAnsi="Arial" w:cs="Arial"/>
        </w:rPr>
        <w:t xml:space="preserve">. Specifically, this presentation rethinks the framework of </w:t>
      </w:r>
      <w:r>
        <w:rPr>
          <w:rFonts w:ascii="Arial" w:eastAsia="Arial" w:hAnsi="Arial" w:cs="Arial"/>
          <w:i/>
        </w:rPr>
        <w:t>distributed knowledge networks</w:t>
      </w:r>
      <w:r>
        <w:rPr>
          <w:rFonts w:ascii="Arial" w:eastAsia="Arial" w:hAnsi="Arial" w:cs="Arial"/>
        </w:rPr>
        <w:t xml:space="preserve"> and its potential for understanding the participants in a writing center community. The professional communication discipline typically has used this framework to fo</w:t>
      </w:r>
      <w:r>
        <w:rPr>
          <w:rFonts w:ascii="Arial" w:eastAsia="Arial" w:hAnsi="Arial" w:cs="Arial"/>
        </w:rPr>
        <w:t xml:space="preserve">cus on the expertise of a community’s participants…whether it’s a study of how information did and did not effectively circulate among NASA personnel during the time of the Space Shuttle Challenger </w:t>
      </w:r>
      <w:proofErr w:type="spellStart"/>
      <w:proofErr w:type="gramStart"/>
      <w:r>
        <w:rPr>
          <w:rFonts w:ascii="Arial" w:eastAsia="Arial" w:hAnsi="Arial" w:cs="Arial"/>
        </w:rPr>
        <w:t>disaster,or</w:t>
      </w:r>
      <w:proofErr w:type="spellEnd"/>
      <w:proofErr w:type="gramEnd"/>
      <w:r>
        <w:rPr>
          <w:rFonts w:ascii="Arial" w:eastAsia="Arial" w:hAnsi="Arial" w:cs="Arial"/>
        </w:rPr>
        <w:t xml:space="preserve"> a study of how distributed knowledge can help </w:t>
      </w:r>
      <w:r>
        <w:rPr>
          <w:rFonts w:ascii="Arial" w:eastAsia="Arial" w:hAnsi="Arial" w:cs="Arial"/>
        </w:rPr>
        <w:t>service learning instructors to teach “digital media production as a new form of service.”</w:t>
      </w:r>
    </w:p>
    <w:p w14:paraId="53A1FD4D" w14:textId="77777777" w:rsidR="007E749D" w:rsidRDefault="00603555">
      <w:pPr>
        <w:spacing w:after="20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There is an opportunity, however, to imagine </w:t>
      </w:r>
      <w:r>
        <w:rPr>
          <w:rFonts w:ascii="Arial" w:eastAsia="Arial" w:hAnsi="Arial" w:cs="Arial"/>
          <w:i/>
        </w:rPr>
        <w:t>distributed knowledge networks</w:t>
      </w:r>
      <w:r>
        <w:rPr>
          <w:rFonts w:ascii="Arial" w:eastAsia="Arial" w:hAnsi="Arial" w:cs="Arial"/>
        </w:rPr>
        <w:t xml:space="preserve"> as a theory not just of expertise but also of negotiation. Concurrent and post-pandemic s</w:t>
      </w:r>
      <w:r>
        <w:rPr>
          <w:rFonts w:ascii="Arial" w:eastAsia="Arial" w:hAnsi="Arial" w:cs="Arial"/>
        </w:rPr>
        <w:t xml:space="preserve">tudies of writing centers already are addressing how expertise now is being defined and enacted by administrators, </w:t>
      </w:r>
      <w:proofErr w:type="gramStart"/>
      <w:r>
        <w:rPr>
          <w:rFonts w:ascii="Arial" w:eastAsia="Arial" w:hAnsi="Arial" w:cs="Arial"/>
        </w:rPr>
        <w:t>staff</w:t>
      </w:r>
      <w:proofErr w:type="gramEnd"/>
      <w:r>
        <w:rPr>
          <w:rFonts w:ascii="Arial" w:eastAsia="Arial" w:hAnsi="Arial" w:cs="Arial"/>
        </w:rPr>
        <w:t xml:space="preserve"> and students. We see this in studies such as Jo </w:t>
      </w:r>
      <w:proofErr w:type="spellStart"/>
      <w:r>
        <w:rPr>
          <w:rFonts w:ascii="Arial" w:eastAsia="Arial" w:hAnsi="Arial" w:cs="Arial"/>
        </w:rPr>
        <w:t>Mackiewicz’s</w:t>
      </w:r>
      <w:proofErr w:type="spellEnd"/>
      <w:r>
        <w:rPr>
          <w:rFonts w:ascii="Arial" w:eastAsia="Arial" w:hAnsi="Arial" w:cs="Arial"/>
        </w:rPr>
        <w:t xml:space="preserve"> Talk about Writing, where expertise is discussed in terms of “identify[</w:t>
      </w:r>
      <w:proofErr w:type="spellStart"/>
      <w:r>
        <w:rPr>
          <w:rFonts w:ascii="Arial" w:eastAsia="Arial" w:hAnsi="Arial" w:cs="Arial"/>
        </w:rPr>
        <w:t>ing</w:t>
      </w:r>
      <w:proofErr w:type="spellEnd"/>
      <w:r>
        <w:rPr>
          <w:rFonts w:ascii="Arial" w:eastAsia="Arial" w:hAnsi="Arial" w:cs="Arial"/>
        </w:rPr>
        <w:t>] the strategies of expert tutors” and what qualifies as being a writing “expert.”</w:t>
      </w:r>
    </w:p>
    <w:p w14:paraId="53A1FD4E" w14:textId="77777777" w:rsidR="007E749D" w:rsidRDefault="00603555">
      <w:pPr>
        <w:spacing w:after="20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Similarly, </w:t>
      </w:r>
      <w:proofErr w:type="spellStart"/>
      <w:r>
        <w:rPr>
          <w:rFonts w:ascii="Arial" w:eastAsia="Arial" w:hAnsi="Arial" w:cs="Arial"/>
        </w:rPr>
        <w:t>Georganne</w:t>
      </w:r>
      <w:proofErr w:type="spellEnd"/>
      <w:r>
        <w:rPr>
          <w:rFonts w:ascii="Arial" w:eastAsia="Arial" w:hAnsi="Arial" w:cs="Arial"/>
        </w:rPr>
        <w:t xml:space="preserve"> Nordstrom’s </w:t>
      </w:r>
      <w:r>
        <w:rPr>
          <w:rFonts w:ascii="Arial" w:eastAsia="Arial" w:hAnsi="Arial" w:cs="Arial"/>
          <w:i/>
        </w:rPr>
        <w:t>A Writing Center Practitioner’s Inquiry into Collaboration</w:t>
      </w:r>
      <w:r>
        <w:rPr>
          <w:rFonts w:ascii="Arial" w:eastAsia="Arial" w:hAnsi="Arial" w:cs="Arial"/>
        </w:rPr>
        <w:t xml:space="preserve"> discusses expertise as a goal possibility for students entering a writing center </w:t>
      </w:r>
      <w:r>
        <w:rPr>
          <w:rFonts w:ascii="Arial" w:eastAsia="Arial" w:hAnsi="Arial" w:cs="Arial"/>
        </w:rPr>
        <w:t>space. Borrowing and rethinking distributed knowledge networks from the professional communication field can reveal how participants’ respective expertise is brokered during online writing center relationships.</w:t>
      </w:r>
    </w:p>
    <w:p w14:paraId="53A1FD4F" w14:textId="77777777" w:rsidR="007E749D" w:rsidRDefault="00603555">
      <w:pPr>
        <w:spacing w:after="20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The take-away here? Prioritizing conciliation</w:t>
      </w:r>
      <w:r>
        <w:rPr>
          <w:rFonts w:ascii="Arial" w:eastAsia="Arial" w:hAnsi="Arial" w:cs="Arial"/>
        </w:rPr>
        <w:t xml:space="preserve"> of expert knowledge bodies can FLATTEN relational hierarchies and thus facilitate the “listening, wellness, and emotion in an online context” that are key to successful writing center work.</w:t>
      </w:r>
    </w:p>
    <w:p w14:paraId="53A1FD50" w14:textId="77777777" w:rsidR="007E749D" w:rsidRDefault="00603555">
      <w:pPr>
        <w:pStyle w:val="Heading2"/>
        <w:ind w:left="0" w:hanging="2"/>
      </w:pPr>
      <w:bookmarkStart w:id="1" w:name="_heading=h.p95cnviz9lk8" w:colFirst="0" w:colLast="0"/>
      <w:bookmarkEnd w:id="1"/>
      <w:r>
        <w:t>Bibliography</w:t>
      </w:r>
    </w:p>
    <w:p w14:paraId="53A1FD51" w14:textId="77777777" w:rsidR="007E749D" w:rsidRDefault="00603555">
      <w:pPr>
        <w:spacing w:after="200"/>
        <w:ind w:left="0" w:hanging="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Alami</w:t>
      </w:r>
      <w:proofErr w:type="spellEnd"/>
      <w:r>
        <w:rPr>
          <w:rFonts w:ascii="Arial" w:eastAsia="Arial" w:hAnsi="Arial" w:cs="Arial"/>
        </w:rPr>
        <w:t xml:space="preserve">, I. (2021). "State Theory in the Age of State </w:t>
      </w:r>
      <w:r>
        <w:rPr>
          <w:rFonts w:ascii="Arial" w:eastAsia="Arial" w:hAnsi="Arial" w:cs="Arial"/>
        </w:rPr>
        <w:t xml:space="preserve">Capitalism 3.0?" </w:t>
      </w:r>
      <w:r>
        <w:rPr>
          <w:rFonts w:ascii="Arial" w:eastAsia="Arial" w:hAnsi="Arial" w:cs="Arial"/>
          <w:i/>
        </w:rPr>
        <w:t>Science &amp; Society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</w:rPr>
        <w:t>85</w:t>
      </w:r>
      <w:r>
        <w:rPr>
          <w:rFonts w:ascii="Arial" w:eastAsia="Arial" w:hAnsi="Arial" w:cs="Arial"/>
        </w:rPr>
        <w:t>(2). https://guilfordjournals.com/doi/abs/10.1521/siso.2021.85.2.162?journalCode=siso</w:t>
      </w:r>
    </w:p>
    <w:p w14:paraId="53A1FD52" w14:textId="77777777" w:rsidR="007E749D" w:rsidRDefault="00603555">
      <w:pPr>
        <w:spacing w:after="20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Cummings, L. (2021). "Internationalizing Professional Writing Programs through Online Study Abroad and Open Networks." </w:t>
      </w:r>
      <w:r>
        <w:rPr>
          <w:rFonts w:ascii="Arial" w:eastAsia="Arial" w:hAnsi="Arial" w:cs="Arial"/>
          <w:i/>
        </w:rPr>
        <w:t xml:space="preserve">Computers and </w:t>
      </w:r>
      <w:r>
        <w:rPr>
          <w:rFonts w:ascii="Arial" w:eastAsia="Arial" w:hAnsi="Arial" w:cs="Arial"/>
          <w:i/>
        </w:rPr>
        <w:t>Composition</w:t>
      </w:r>
      <w:r>
        <w:rPr>
          <w:rFonts w:ascii="Arial" w:eastAsia="Arial" w:hAnsi="Arial" w:cs="Arial"/>
        </w:rPr>
        <w:t>. https://www.sciencedirect.com/science/article/pii/S8755461521000177</w:t>
      </w:r>
    </w:p>
    <w:p w14:paraId="53A1FD53" w14:textId="77777777" w:rsidR="007E749D" w:rsidRDefault="00603555">
      <w:pPr>
        <w:spacing w:after="20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Garner, J. T. (2006). "It's Not What You Know: A Transactive Memory Analysis of Knowledge Networks at NASA." </w:t>
      </w:r>
      <w:r>
        <w:rPr>
          <w:rFonts w:ascii="Arial" w:eastAsia="Arial" w:hAnsi="Arial" w:cs="Arial"/>
          <w:i/>
        </w:rPr>
        <w:t>Journal of Technical Writing and Communication 36</w:t>
      </w:r>
      <w:r>
        <w:rPr>
          <w:rFonts w:ascii="Arial" w:eastAsia="Arial" w:hAnsi="Arial" w:cs="Arial"/>
        </w:rPr>
        <w:t>(4). https://jour</w:t>
      </w:r>
      <w:r>
        <w:rPr>
          <w:rFonts w:ascii="Arial" w:eastAsia="Arial" w:hAnsi="Arial" w:cs="Arial"/>
        </w:rPr>
        <w:t>nals.sagepub.com/doi/abs/10.2190/3636-4844-2323-W071</w:t>
      </w:r>
    </w:p>
    <w:p w14:paraId="53A1FD54" w14:textId="77777777" w:rsidR="007E749D" w:rsidRDefault="00603555">
      <w:pPr>
        <w:spacing w:after="200"/>
        <w:ind w:left="0" w:hanging="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Getto</w:t>
      </w:r>
      <w:proofErr w:type="spellEnd"/>
      <w:r>
        <w:rPr>
          <w:rFonts w:ascii="Arial" w:eastAsia="Arial" w:hAnsi="Arial" w:cs="Arial"/>
        </w:rPr>
        <w:t>, G. et al. (2014). "Helping to Build Better Networks: Service-Learning Partnerships as Distributed knowledge Work." Reflections: Public Rhetoric, Civic Writing and Service Learning 13(2). https://r</w:t>
      </w:r>
      <w:r>
        <w:rPr>
          <w:rFonts w:ascii="Arial" w:eastAsia="Arial" w:hAnsi="Arial" w:cs="Arial"/>
        </w:rPr>
        <w:t>eflectionsjournal.net/category/archive/13-2/</w:t>
      </w:r>
    </w:p>
    <w:p w14:paraId="53A1FD55" w14:textId="77777777" w:rsidR="007E749D" w:rsidRDefault="00603555">
      <w:pPr>
        <w:spacing w:after="20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Kelly, K. (2020, May 7). "COVID-19 Planning for Fall 2020: A Closer Look at Hybrid-Flexible Course Design." </w:t>
      </w:r>
      <w:r>
        <w:rPr>
          <w:rFonts w:ascii="Arial" w:eastAsia="Arial" w:hAnsi="Arial" w:cs="Arial"/>
          <w:i/>
        </w:rPr>
        <w:t>Phil on Ed Tech</w:t>
      </w:r>
      <w:r>
        <w:rPr>
          <w:rFonts w:ascii="Arial" w:eastAsia="Arial" w:hAnsi="Arial" w:cs="Arial"/>
        </w:rPr>
        <w:t>. https://philonedtech.com/covid-19-planning-for-fall-2020-a-closer look-at-hybrid-flexi</w:t>
      </w:r>
      <w:r>
        <w:rPr>
          <w:rFonts w:ascii="Arial" w:eastAsia="Arial" w:hAnsi="Arial" w:cs="Arial"/>
        </w:rPr>
        <w:t>ble-course-design/</w:t>
      </w:r>
    </w:p>
    <w:p w14:paraId="53A1FD56" w14:textId="77777777" w:rsidR="007E749D" w:rsidRDefault="00603555">
      <w:pPr>
        <w:spacing w:after="20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Lieberman, M. (2018, Jan. 24). "Introducing a New(-</w:t>
      </w:r>
      <w:proofErr w:type="spellStart"/>
      <w:r>
        <w:rPr>
          <w:rFonts w:ascii="Arial" w:eastAsia="Arial" w:hAnsi="Arial" w:cs="Arial"/>
        </w:rPr>
        <w:t>ish</w:t>
      </w:r>
      <w:proofErr w:type="spellEnd"/>
      <w:r>
        <w:rPr>
          <w:rFonts w:ascii="Arial" w:eastAsia="Arial" w:hAnsi="Arial" w:cs="Arial"/>
        </w:rPr>
        <w:t xml:space="preserve">) Learning Mode: </w:t>
      </w:r>
      <w:proofErr w:type="spellStart"/>
      <w:r>
        <w:rPr>
          <w:rFonts w:ascii="Arial" w:eastAsia="Arial" w:hAnsi="Arial" w:cs="Arial"/>
        </w:rPr>
        <w:t>Blendflex</w:t>
      </w:r>
      <w:proofErr w:type="spell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Hyflex</w:t>
      </w:r>
      <w:proofErr w:type="spellEnd"/>
      <w:r>
        <w:rPr>
          <w:rFonts w:ascii="Arial" w:eastAsia="Arial" w:hAnsi="Arial" w:cs="Arial"/>
        </w:rPr>
        <w:t xml:space="preserve">." </w:t>
      </w:r>
      <w:r>
        <w:rPr>
          <w:rFonts w:ascii="Arial" w:eastAsia="Arial" w:hAnsi="Arial" w:cs="Arial"/>
          <w:i/>
        </w:rPr>
        <w:t>Inside Higher Ed</w:t>
      </w:r>
      <w:r>
        <w:rPr>
          <w:rFonts w:ascii="Arial" w:eastAsia="Arial" w:hAnsi="Arial" w:cs="Arial"/>
        </w:rPr>
        <w:t>. https://www.insidehighered.com/digital-learning/article/2018/01/24/blendflex-lets-students-toggle-between-online-or-face-face</w:t>
      </w:r>
    </w:p>
    <w:p w14:paraId="53A1FD57" w14:textId="77777777" w:rsidR="007E749D" w:rsidRDefault="00603555">
      <w:pPr>
        <w:spacing w:after="200"/>
        <w:ind w:left="0" w:hanging="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Mac</w:t>
      </w:r>
      <w:r>
        <w:rPr>
          <w:rFonts w:ascii="Arial" w:eastAsia="Arial" w:hAnsi="Arial" w:cs="Arial"/>
        </w:rPr>
        <w:t>kiewicz</w:t>
      </w:r>
      <w:proofErr w:type="spellEnd"/>
      <w:r>
        <w:rPr>
          <w:rFonts w:ascii="Arial" w:eastAsia="Arial" w:hAnsi="Arial" w:cs="Arial"/>
        </w:rPr>
        <w:t>, J. &amp; Thompson, I. K. (2018). T</w:t>
      </w:r>
      <w:r>
        <w:rPr>
          <w:rFonts w:ascii="Arial" w:eastAsia="Arial" w:hAnsi="Arial" w:cs="Arial"/>
          <w:i/>
        </w:rPr>
        <w:t>alk about writing: The tutoring strategies of experienced writing center tutors</w:t>
      </w:r>
      <w:r>
        <w:rPr>
          <w:rFonts w:ascii="Arial" w:eastAsia="Arial" w:hAnsi="Arial" w:cs="Arial"/>
        </w:rPr>
        <w:t>. New York: Routledge.</w:t>
      </w:r>
    </w:p>
    <w:p w14:paraId="53A1FD58" w14:textId="77777777" w:rsidR="007E749D" w:rsidRDefault="00603555">
      <w:pPr>
        <w:spacing w:after="200"/>
        <w:ind w:left="0" w:hanging="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Moumtzoglou</w:t>
      </w:r>
      <w:proofErr w:type="spellEnd"/>
      <w:r>
        <w:rPr>
          <w:rFonts w:ascii="Arial" w:eastAsia="Arial" w:hAnsi="Arial" w:cs="Arial"/>
        </w:rPr>
        <w:t xml:space="preserve">, A. S. (2021). “Is Statistical Process Control (SPC) Obsolete?" </w:t>
      </w:r>
      <w:r>
        <w:rPr>
          <w:rFonts w:ascii="Arial" w:eastAsia="Arial" w:hAnsi="Arial" w:cs="Arial"/>
          <w:i/>
        </w:rPr>
        <w:t>International Journal of Reliable and Q</w:t>
      </w:r>
      <w:r>
        <w:rPr>
          <w:rFonts w:ascii="Arial" w:eastAsia="Arial" w:hAnsi="Arial" w:cs="Arial"/>
          <w:i/>
        </w:rPr>
        <w:t>uality E-Healthcare 10</w:t>
      </w:r>
      <w:r>
        <w:rPr>
          <w:rFonts w:ascii="Arial" w:eastAsia="Arial" w:hAnsi="Arial" w:cs="Arial"/>
        </w:rPr>
        <w:t>(2). https://www.igi-global.com/article/is-statistical-process-control-spc-obsolete/274979</w:t>
      </w:r>
    </w:p>
    <w:p w14:paraId="53A1FD59" w14:textId="77777777" w:rsidR="007E749D" w:rsidRDefault="00603555">
      <w:pPr>
        <w:spacing w:after="20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Nordstrom, G. (2021). </w:t>
      </w:r>
      <w:r>
        <w:rPr>
          <w:rFonts w:ascii="Arial" w:eastAsia="Arial" w:hAnsi="Arial" w:cs="Arial"/>
          <w:i/>
        </w:rPr>
        <w:t>A writing center practitioner's inquiry into collaboration: Pedagogy, practice, and research</w:t>
      </w:r>
      <w:r>
        <w:rPr>
          <w:rFonts w:ascii="Arial" w:eastAsia="Arial" w:hAnsi="Arial" w:cs="Arial"/>
        </w:rPr>
        <w:t>. New York: Routledge.</w:t>
      </w:r>
    </w:p>
    <w:sectPr w:rsidR="007E749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49D"/>
    <w:rsid w:val="00603555"/>
    <w:rsid w:val="007E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1FD47"/>
  <w15:docId w15:val="{85703658-8CE5-44A9-974A-393AB5C8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200"/>
      <w:jc w:val="center"/>
    </w:pPr>
    <w:rPr>
      <w:rFonts w:ascii="Arial" w:eastAsia="Arial" w:hAnsi="Arial" w:cs="Arial"/>
      <w:b/>
      <w:sz w:val="26"/>
      <w:szCs w:val="2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after="200"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HmDOnLXC1NisZa9FIonvQBU30g==">AMUW2mWiBwXMWiS4aUe4WaHiKRUF977qbM+scOOPq0LfLM+ceJQpP89+JzPbpT7td625PvJ71G940vQDzulCMIJ9mZO2sdWe+S1yzV5J7KveFCVF3LxSgxt8T6FGr7FQnJuPzINXeubBeckfaADEsDfgTwSUbXNAcg==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4450</Characters>
  <Application>Microsoft Office Word</Application>
  <DocSecurity>0</DocSecurity>
  <Lines>37</Lines>
  <Paragraphs>10</Paragraphs>
  <ScaleCrop>false</ScaleCrop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 P Lamberti</dc:creator>
  <cp:lastModifiedBy>Jenelle Dembsey</cp:lastModifiedBy>
  <cp:revision>2</cp:revision>
  <dcterms:created xsi:type="dcterms:W3CDTF">2021-09-27T15:07:00Z</dcterms:created>
  <dcterms:modified xsi:type="dcterms:W3CDTF">2021-09-27T15:07:00Z</dcterms:modified>
</cp:coreProperties>
</file>